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E72F3" w14:textId="1A4ECA55" w:rsidR="00D309CC" w:rsidRDefault="00D309CC" w:rsidP="00D46431">
      <w:pPr>
        <w:pStyle w:val="CH"/>
      </w:pPr>
      <w:bookmarkStart w:id="0" w:name="historyclause"/>
      <w:r>
        <w:t xml:space="preserve">3GPP </w:t>
      </w:r>
      <w:r w:rsidR="00595C50">
        <w:t>RAN4</w:t>
      </w:r>
      <w:r>
        <w:t xml:space="preserve"> Meeting </w:t>
      </w:r>
      <w:r w:rsidR="00595C50">
        <w:t>#11</w:t>
      </w:r>
      <w:r w:rsidR="00086E33">
        <w:t>4</w:t>
      </w:r>
      <w:r>
        <w:tab/>
      </w:r>
      <w:r w:rsidR="00D46431">
        <w:tab/>
      </w:r>
      <w:r w:rsidR="00A16799" w:rsidRPr="00A16799">
        <w:t>R4-2500327</w:t>
      </w:r>
    </w:p>
    <w:p w14:paraId="50DC9730" w14:textId="7F19F81D" w:rsidR="00D309CC" w:rsidRPr="00FD166F" w:rsidRDefault="00086E33" w:rsidP="00D46431">
      <w:pPr>
        <w:pStyle w:val="CH"/>
        <w:tabs>
          <w:tab w:val="clear" w:pos="7920"/>
        </w:tabs>
        <w:rPr>
          <w:b w:val="0"/>
        </w:rPr>
      </w:pPr>
      <w:r>
        <w:t>Athens</w:t>
      </w:r>
      <w:r w:rsidR="00595C50">
        <w:t xml:space="preserve">, </w:t>
      </w:r>
      <w:r>
        <w:t>Greece,</w:t>
      </w:r>
      <w:r w:rsidR="00595C50">
        <w:t xml:space="preserve"> </w:t>
      </w:r>
      <w:r>
        <w:t>February 17-21, 2025</w:t>
      </w:r>
    </w:p>
    <w:p w14:paraId="39A0EE25" w14:textId="77777777" w:rsidR="00D309CC" w:rsidRDefault="00D309CC" w:rsidP="00D309CC">
      <w:pPr>
        <w:tabs>
          <w:tab w:val="left" w:pos="2160"/>
        </w:tabs>
        <w:rPr>
          <w:rFonts w:ascii="Arial" w:hAnsi="Arial" w:cs="Arial"/>
          <w:b/>
        </w:rPr>
      </w:pPr>
    </w:p>
    <w:p w14:paraId="6DDCE159" w14:textId="16BEE3DE" w:rsidR="00D309CC" w:rsidRPr="00595C50" w:rsidRDefault="00D309CC" w:rsidP="00D309CC">
      <w:pPr>
        <w:pStyle w:val="CH"/>
        <w:rPr>
          <w:lang w:val="en-US"/>
        </w:rPr>
      </w:pPr>
      <w:r w:rsidRPr="0008103A">
        <w:t>Agenda item:</w:t>
      </w:r>
      <w:r>
        <w:tab/>
      </w:r>
      <w:r w:rsidR="00B27FEE">
        <w:rPr>
          <w:lang w:val="en-US"/>
        </w:rPr>
        <w:t>10</w:t>
      </w:r>
    </w:p>
    <w:p w14:paraId="4DBE005A" w14:textId="3BD9E58D" w:rsidR="00D309CC" w:rsidRPr="0008103A" w:rsidRDefault="00D309CC" w:rsidP="00D309CC">
      <w:pPr>
        <w:pStyle w:val="CH"/>
        <w:rPr>
          <w:b w:val="0"/>
        </w:rPr>
      </w:pPr>
      <w:r>
        <w:t>Source:</w:t>
      </w:r>
      <w:r>
        <w:tab/>
        <w:t>Apple</w:t>
      </w:r>
    </w:p>
    <w:p w14:paraId="0D2061A1" w14:textId="5A9B41D8" w:rsidR="00D309CC" w:rsidRPr="00595C50" w:rsidRDefault="00D309CC" w:rsidP="00A16799">
      <w:pPr>
        <w:pStyle w:val="CH"/>
        <w:ind w:left="2260" w:hanging="2260"/>
        <w:rPr>
          <w:lang w:val="en-US"/>
        </w:rPr>
      </w:pPr>
      <w:r w:rsidRPr="0008103A">
        <w:t>Title:</w:t>
      </w:r>
      <w:r w:rsidRPr="0008103A">
        <w:tab/>
      </w:r>
      <w:r w:rsidR="00A16799" w:rsidRPr="00A16799">
        <w:rPr>
          <w:lang w:val="en-US"/>
        </w:rPr>
        <w:t>Views on enabling 29dBm high-power UE for the FDD bands for terrestrial and satellite operation in Rel-20</w:t>
      </w:r>
    </w:p>
    <w:p w14:paraId="6C6D1281" w14:textId="10A9FD42" w:rsidR="00104BC6" w:rsidRDefault="00104BC6" w:rsidP="00D309CC">
      <w:pPr>
        <w:pStyle w:val="CH"/>
        <w:rPr>
          <w:b w:val="0"/>
        </w:rPr>
      </w:pPr>
      <w:r>
        <w:t>Release:</w:t>
      </w:r>
      <w:r>
        <w:tab/>
      </w:r>
      <w:r w:rsidR="00595C50">
        <w:t>Rel-</w:t>
      </w:r>
      <w:r w:rsidR="00B27FEE">
        <w:t>20</w:t>
      </w:r>
    </w:p>
    <w:p w14:paraId="2E4E044D" w14:textId="520C673F" w:rsidR="00D309CC" w:rsidRDefault="00D309CC" w:rsidP="00D309CC">
      <w:pPr>
        <w:pStyle w:val="CH"/>
      </w:pPr>
      <w:r>
        <w:t>Document for:</w:t>
      </w:r>
      <w:r>
        <w:tab/>
      </w:r>
      <w:r w:rsidR="00B27FEE">
        <w:t>Information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E3FA659" w14:textId="77777777" w:rsidR="00F90B9E" w:rsidRDefault="00F90B9E" w:rsidP="00F90B9E">
      <w:r>
        <w:t xml:space="preserve">After the RAN#86 meeting, the Rel-17 WI was approved that aimed at enabling the 5G/NR radio access technology for non-terrestrial satellite deployments </w:t>
      </w:r>
      <w:r>
        <w:fldChar w:fldCharType="begin"/>
      </w:r>
      <w:r>
        <w:instrText xml:space="preserve"> REF _Ref13820109 \r \h </w:instrText>
      </w:r>
      <w:r>
        <w:fldChar w:fldCharType="separate"/>
      </w:r>
      <w:r>
        <w:t>[1]</w:t>
      </w:r>
      <w:r>
        <w:fldChar w:fldCharType="end"/>
      </w:r>
      <w:r>
        <w:t xml:space="preserve">. That time the only available power class for NTN was PC3 offering the maximum nominal output power of 23dBm. During the RAN#104 meeting a new WI was agreed </w:t>
      </w:r>
      <w:r>
        <w:fldChar w:fldCharType="begin"/>
      </w:r>
      <w:r>
        <w:instrText xml:space="preserve"> REF _Ref173832184 \r \h </w:instrText>
      </w:r>
      <w:r>
        <w:fldChar w:fldCharType="separate"/>
      </w:r>
      <w:r>
        <w:t>[2]</w:t>
      </w:r>
      <w:r>
        <w:fldChar w:fldCharType="end"/>
      </w:r>
      <w:r>
        <w:t xml:space="preserve"> with one of the objectives to enable higher power classes for NTN.</w:t>
      </w:r>
    </w:p>
    <w:p w14:paraId="31FF0476" w14:textId="1053124B" w:rsidR="00B27FEE" w:rsidRDefault="00F90B9E" w:rsidP="00F90B9E">
      <w:r>
        <w:t xml:space="preserve">During the previous meetings RAN WG4 discussed which power classes and UE architectures should be considered further for the normative work. </w:t>
      </w:r>
      <w:r w:rsidR="00FE7BFF">
        <w:t>While it was agreed quickly to specify 26dBm (PC2) power class for NTN, there are ongoing discussions on how to enable 29dBm power class for NTN</w:t>
      </w:r>
      <w:r>
        <w:t>.</w:t>
      </w:r>
      <w:r w:rsidR="00FE7BFF">
        <w:t xml:space="preserve"> In this discussion paper we present our understanding of challenges associated with the existing 29dBm (PC1.5) power class, to address which we suggest initiating a new Rel-20 WI. </w:t>
      </w:r>
    </w:p>
    <w:p w14:paraId="3A67921B" w14:textId="1276B2D4" w:rsidR="008E7986" w:rsidRDefault="008E7986" w:rsidP="008E7986">
      <w:pPr>
        <w:pStyle w:val="Heading1"/>
      </w:pPr>
      <w:r>
        <w:t>2</w:t>
      </w:r>
      <w:r>
        <w:tab/>
      </w:r>
      <w:r w:rsidR="00B845A4">
        <w:t>Discussion</w:t>
      </w:r>
    </w:p>
    <w:p w14:paraId="1F3D0193" w14:textId="6A0386C4" w:rsidR="009275BD" w:rsidRDefault="009275BD" w:rsidP="009275BD">
      <w:pPr>
        <w:jc w:val="both"/>
      </w:pPr>
      <w:r>
        <w:t xml:space="preserve">During the previous </w:t>
      </w:r>
      <w:r>
        <w:t xml:space="preserve">RAN WG4 </w:t>
      </w:r>
      <w:r>
        <w:t xml:space="preserve">meetings companies discussed which power classes should be considered further for the NTN core specifications and under which UE RF architecture assumptions. It is worth noting that the existing NTN power class 3 is based on 1TX architecture that is common for both terrestrial and satellite bands FDD bands. Similarly, the existing power class 2, which is also based on 1TX architecture, can be easily extended from the existing terrestrial FDD bands to the satellite FDD bands. The PC1 power class is also based on 1TX architecture and is defined for the terrestrial FDD bands, from which it can be extended to the satellite operation. </w:t>
      </w:r>
    </w:p>
    <w:p w14:paraId="02721868" w14:textId="77777777" w:rsidR="009275BD" w:rsidRDefault="009275BD" w:rsidP="009275BD">
      <w:pPr>
        <w:pStyle w:val="Observation"/>
      </w:pPr>
      <w:r>
        <w:t>Observation 1a:</w:t>
      </w:r>
      <w:r>
        <w:tab/>
        <w:t xml:space="preserve">Both PC2 and PC1 are based on the 1TX architecture and are defined for the existing terrestrial FDD bands, which makes them ideal candidates for efficient operation in the satellite FDD bands.    </w:t>
      </w:r>
    </w:p>
    <w:p w14:paraId="6E1F0381" w14:textId="0F4ABA8C" w:rsidR="009275BD" w:rsidRDefault="009275BD" w:rsidP="009275BD">
      <w:pPr>
        <w:jc w:val="both"/>
      </w:pPr>
      <w:r>
        <w:t xml:space="preserve">There was also a discussion on whether and how to enable the PC1.5 power class, for which several major concerns were raised. Firstly, this power class is defined only for the terrestrial TDD bands and is not applicable to the FDD bands. Secondly, since this power class assumes 2TX architecture, the resulting </w:t>
      </w:r>
      <w:r>
        <w:t xml:space="preserve">2TX-based </w:t>
      </w:r>
      <w:r>
        <w:t xml:space="preserve">performance </w:t>
      </w:r>
      <w:r>
        <w:t>can be acceptable for the terrestrial FDD bands but could be</w:t>
      </w:r>
      <w:r>
        <w:t xml:space="preserve"> quite sub-optimal for the FDD satellite links. The matter is that 2TX architecture will require configuring UL MIMO, performance of which is questionable for the satellite channels. So</w:t>
      </w:r>
      <w:r>
        <w:t>,</w:t>
      </w:r>
      <w:r>
        <w:t xml:space="preserve"> it could be the case that 23+23dBm configuration will perform even worse than a single 23dBm chain in case of the satellite channel. Another important aspect to consider is the fact that 2Tx architecture and UL MIMO will require CP-OFDM, power back-off values for which are larger than DFT-s-OFDM. </w:t>
      </w:r>
      <w:r>
        <w:t xml:space="preserve">Referring specifically to the satellite FDD bands, most of them have strict emission requirements requiring A-MPR for some allocations. And as already presented for some NTN bands, such as band n254 and n256, CP-OFDM has much larger A-MPR values. Based on that there is no clear evidence that PC1.5 based on 2TX with UL MIMO and CP-OFDM will perform better than PC2 1TX with DFT-s-OFDM.  </w:t>
      </w:r>
    </w:p>
    <w:p w14:paraId="36D64EC6" w14:textId="77777777" w:rsidR="009275BD" w:rsidRDefault="009275BD" w:rsidP="009275BD">
      <w:pPr>
        <w:pStyle w:val="Observation"/>
      </w:pPr>
      <w:r>
        <w:t>Observation 1b:</w:t>
      </w:r>
      <w:r>
        <w:tab/>
        <w:t xml:space="preserve"> The existing PC1.5 power class is defined only for the TDD terrestrial bands and is based on the 2TX architecture.</w:t>
      </w:r>
    </w:p>
    <w:p w14:paraId="5698C37E" w14:textId="77777777" w:rsidR="009275BD" w:rsidRDefault="009275BD" w:rsidP="009275BD">
      <w:pPr>
        <w:pStyle w:val="Observation"/>
      </w:pPr>
      <w:r>
        <w:t>Observation 1c:</w:t>
      </w:r>
      <w:r>
        <w:tab/>
        <w:t xml:space="preserve"> 2TX architecture will require UL MIMO, resulting performance of which is not clear for the satellite channels.</w:t>
      </w:r>
    </w:p>
    <w:p w14:paraId="3D909024" w14:textId="77777777" w:rsidR="009275BD" w:rsidRDefault="009275BD" w:rsidP="009275BD">
      <w:pPr>
        <w:pStyle w:val="Observation"/>
      </w:pPr>
      <w:r>
        <w:t>Observation 1d:</w:t>
      </w:r>
      <w:r>
        <w:tab/>
        <w:t xml:space="preserve"> 2TX architecture and UL MIMO will also require CP-OFDM, MPR margins and A-MPR of which is much larger compared to DFT-s-OFDM (see the corresponding A-MPR values for e.g. band n254 and n256).</w:t>
      </w:r>
    </w:p>
    <w:p w14:paraId="6DF686F9" w14:textId="77777777" w:rsidR="009275BD" w:rsidRDefault="009275BD" w:rsidP="009275BD">
      <w:pPr>
        <w:pStyle w:val="Observation"/>
      </w:pPr>
    </w:p>
    <w:p w14:paraId="25A4ECC1" w14:textId="77777777" w:rsidR="009275BD" w:rsidRDefault="009275BD" w:rsidP="009275BD">
      <w:pPr>
        <w:pStyle w:val="Observation"/>
      </w:pPr>
    </w:p>
    <w:p w14:paraId="431B69FA" w14:textId="77777777" w:rsidR="009275BD" w:rsidRDefault="009275BD" w:rsidP="009275BD"/>
    <w:p w14:paraId="0DBD68B3" w14:textId="39AA0B6D" w:rsidR="009275BD" w:rsidRDefault="009275BD" w:rsidP="009275BD">
      <w:r>
        <w:t>Nevertheless, since there is an interest from the industry to enable 29dBm transmission power for the NTN devices, we suggest studying it further in the follow-up work once RAN WG4 completes the work on PC2 and PC1 classes.</w:t>
      </w:r>
      <w:r w:rsidR="00F95B89">
        <w:t xml:space="preserve"> In fact, RAN WG4 can complete 29dBm co-existence simulations in Rel-19, while the normative work for 29dBm power class will be carried on in Rel-20.</w:t>
      </w:r>
    </w:p>
    <w:p w14:paraId="44D8420C" w14:textId="78070AB7" w:rsidR="0027349B" w:rsidRDefault="0027349B" w:rsidP="0027349B"/>
    <w:p w14:paraId="35D66CF6" w14:textId="2B0BF31E" w:rsidR="0079755B" w:rsidRDefault="0079755B" w:rsidP="0027349B">
      <w:pPr>
        <w:pStyle w:val="Proposal"/>
      </w:pPr>
      <w:bookmarkStart w:id="1" w:name="_Toc181871877"/>
      <w:bookmarkStart w:id="2" w:name="_Toc181873632"/>
      <w:bookmarkStart w:id="3" w:name="_Toc181873692"/>
      <w:bookmarkStart w:id="4" w:name="_Toc181955625"/>
      <w:bookmarkStart w:id="5" w:name="_Toc189727128"/>
      <w:r>
        <w:t>Proposal</w:t>
      </w:r>
      <w:r>
        <w:t xml:space="preserve"> 1</w:t>
      </w:r>
      <w:r>
        <w:t>:</w:t>
      </w:r>
      <w:r>
        <w:tab/>
      </w:r>
      <w:r>
        <w:t>Complete 29dBm co-existence simulations for NTN in the ongoing Rel-19 WI</w:t>
      </w:r>
      <w:r>
        <w:t>.</w:t>
      </w:r>
    </w:p>
    <w:p w14:paraId="06908B32" w14:textId="6C2ED492" w:rsidR="009D725E" w:rsidRDefault="009D725E" w:rsidP="0027349B">
      <w:pPr>
        <w:pStyle w:val="Proposal"/>
      </w:pPr>
      <w:r>
        <w:t>Proposal</w:t>
      </w:r>
      <w:r w:rsidR="0079755B">
        <w:t xml:space="preserve"> 2</w:t>
      </w:r>
      <w:r>
        <w:t>:</w:t>
      </w:r>
      <w:r>
        <w:tab/>
      </w:r>
      <w:bookmarkEnd w:id="1"/>
      <w:bookmarkEnd w:id="2"/>
      <w:bookmarkEnd w:id="3"/>
      <w:bookmarkEnd w:id="4"/>
      <w:bookmarkEnd w:id="5"/>
      <w:r w:rsidR="00F90B9E">
        <w:t>Initiate a new spectrum Rel-20 WI to enable 29dBm power class for the FDD bands (</w:t>
      </w:r>
      <w:r w:rsidR="0079755B">
        <w:t xml:space="preserve">as a common feature </w:t>
      </w:r>
      <w:r w:rsidR="00F90B9E">
        <w:t>covering both terrestrial and satellite bands)</w:t>
      </w:r>
      <w:r w:rsidR="0027349B">
        <w:t>.</w:t>
      </w:r>
    </w:p>
    <w:p w14:paraId="5D2DDC34" w14:textId="2B052426" w:rsidR="005E69AE" w:rsidRDefault="0027349B" w:rsidP="005E69AE">
      <w:pPr>
        <w:pStyle w:val="Heading1"/>
      </w:pPr>
      <w:r>
        <w:t>3</w:t>
      </w:r>
      <w:r w:rsidR="005E69AE">
        <w:tab/>
        <w:t>References</w:t>
      </w:r>
    </w:p>
    <w:p w14:paraId="2993AC0A" w14:textId="77777777" w:rsidR="00F90B9E" w:rsidRPr="004D3578" w:rsidRDefault="00F90B9E" w:rsidP="00F90B9E">
      <w:pPr>
        <w:pStyle w:val="EX"/>
      </w:pPr>
      <w:bookmarkStart w:id="6" w:name="_Ref181870462"/>
      <w:bookmarkStart w:id="7" w:name="_Ref13820109"/>
      <w:r w:rsidRPr="00804854">
        <w:t>RP-193234</w:t>
      </w:r>
      <w:r>
        <w:t>, "</w:t>
      </w:r>
      <w:r w:rsidRPr="00804854">
        <w:t>Solutions for NR to support non-terrestrial networks (NTN)</w:t>
      </w:r>
      <w:r>
        <w:t>", Thales</w:t>
      </w:r>
      <w:bookmarkEnd w:id="7"/>
    </w:p>
    <w:p w14:paraId="213BCF8E" w14:textId="77777777" w:rsidR="00F90B9E" w:rsidRDefault="00F90B9E" w:rsidP="00F90B9E">
      <w:pPr>
        <w:pStyle w:val="EX"/>
      </w:pPr>
      <w:bookmarkStart w:id="8" w:name="_Ref173832184"/>
      <w:r w:rsidRPr="009335CA">
        <w:t>RP-240857, "New WID: Enhanced requirements and test methodology for NR and IoT NTN"</w:t>
      </w:r>
      <w:bookmarkEnd w:id="8"/>
    </w:p>
    <w:p w14:paraId="7F02F958" w14:textId="461BE2F3" w:rsidR="00B27FEE" w:rsidRDefault="00B27FEE" w:rsidP="00F90B9E">
      <w:pPr>
        <w:pStyle w:val="EX"/>
        <w:numPr>
          <w:ilvl w:val="0"/>
          <w:numId w:val="0"/>
        </w:numPr>
        <w:ind w:left="369"/>
      </w:pPr>
    </w:p>
    <w:bookmarkEnd w:id="0"/>
    <w:bookmarkEnd w:id="6"/>
    <w:p w14:paraId="543D1CC3" w14:textId="77777777" w:rsidR="00B27FEE" w:rsidRDefault="00B27FEE" w:rsidP="00B27FEE">
      <w:pPr>
        <w:pStyle w:val="EX"/>
        <w:numPr>
          <w:ilvl w:val="0"/>
          <w:numId w:val="0"/>
        </w:numPr>
        <w:ind w:left="369" w:hanging="369"/>
      </w:pPr>
    </w:p>
    <w:sectPr w:rsidR="00B27FEE" w:rsidSect="008802E3">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DD651" w14:textId="77777777" w:rsidR="006C029E" w:rsidRDefault="006C029E">
      <w:r>
        <w:separator/>
      </w:r>
    </w:p>
  </w:endnote>
  <w:endnote w:type="continuationSeparator" w:id="0">
    <w:p w14:paraId="1B08FED4" w14:textId="77777777" w:rsidR="006C029E" w:rsidRDefault="006C0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AECC3" w14:textId="77777777" w:rsidR="006C029E" w:rsidRDefault="006C029E">
      <w:r>
        <w:separator/>
      </w:r>
    </w:p>
  </w:footnote>
  <w:footnote w:type="continuationSeparator" w:id="0">
    <w:p w14:paraId="51EFF60A" w14:textId="77777777" w:rsidR="006C029E" w:rsidRDefault="006C0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F781F"/>
    <w:multiLevelType w:val="multilevel"/>
    <w:tmpl w:val="FD043F6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6505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770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106648">
    <w:abstractNumId w:val="2"/>
  </w:num>
  <w:num w:numId="4" w16cid:durableId="1418938167">
    <w:abstractNumId w:val="9"/>
  </w:num>
  <w:num w:numId="5" w16cid:durableId="1192574548">
    <w:abstractNumId w:val="3"/>
  </w:num>
  <w:num w:numId="6" w16cid:durableId="1905604073">
    <w:abstractNumId w:val="3"/>
  </w:num>
  <w:num w:numId="7" w16cid:durableId="2038382258">
    <w:abstractNumId w:val="7"/>
  </w:num>
  <w:num w:numId="8" w16cid:durableId="1769497740">
    <w:abstractNumId w:val="5"/>
  </w:num>
  <w:num w:numId="9" w16cid:durableId="2000189367">
    <w:abstractNumId w:val="6"/>
  </w:num>
  <w:num w:numId="10" w16cid:durableId="1104038683">
    <w:abstractNumId w:val="4"/>
  </w:num>
  <w:num w:numId="11" w16cid:durableId="1941835483">
    <w:abstractNumId w:val="8"/>
  </w:num>
  <w:num w:numId="12" w16cid:durableId="309528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5BD"/>
    <w:rsid w:val="00033397"/>
    <w:rsid w:val="0003702E"/>
    <w:rsid w:val="00040095"/>
    <w:rsid w:val="00051834"/>
    <w:rsid w:val="00054A22"/>
    <w:rsid w:val="00062023"/>
    <w:rsid w:val="000655A6"/>
    <w:rsid w:val="00080512"/>
    <w:rsid w:val="00086E33"/>
    <w:rsid w:val="000A365D"/>
    <w:rsid w:val="000A520F"/>
    <w:rsid w:val="000A68F3"/>
    <w:rsid w:val="000B4768"/>
    <w:rsid w:val="000B5595"/>
    <w:rsid w:val="000C0B58"/>
    <w:rsid w:val="000C47C3"/>
    <w:rsid w:val="000D58AB"/>
    <w:rsid w:val="000E0209"/>
    <w:rsid w:val="00104BC6"/>
    <w:rsid w:val="00114E2C"/>
    <w:rsid w:val="00133525"/>
    <w:rsid w:val="00133E65"/>
    <w:rsid w:val="00146671"/>
    <w:rsid w:val="0015733E"/>
    <w:rsid w:val="0016744E"/>
    <w:rsid w:val="001A4C42"/>
    <w:rsid w:val="001C21C3"/>
    <w:rsid w:val="001D02C2"/>
    <w:rsid w:val="001D3A29"/>
    <w:rsid w:val="001E1FFA"/>
    <w:rsid w:val="001E2BCF"/>
    <w:rsid w:val="001F0C1D"/>
    <w:rsid w:val="001F1132"/>
    <w:rsid w:val="001F168B"/>
    <w:rsid w:val="001F3CDB"/>
    <w:rsid w:val="001F718D"/>
    <w:rsid w:val="002121CB"/>
    <w:rsid w:val="002347A2"/>
    <w:rsid w:val="00234FFD"/>
    <w:rsid w:val="00245BAB"/>
    <w:rsid w:val="00247926"/>
    <w:rsid w:val="002675F0"/>
    <w:rsid w:val="0027349B"/>
    <w:rsid w:val="00276EE4"/>
    <w:rsid w:val="002A1EDC"/>
    <w:rsid w:val="002B6339"/>
    <w:rsid w:val="002E00EE"/>
    <w:rsid w:val="002F0C22"/>
    <w:rsid w:val="003172DC"/>
    <w:rsid w:val="00317AC7"/>
    <w:rsid w:val="0034052F"/>
    <w:rsid w:val="0035462D"/>
    <w:rsid w:val="003765B8"/>
    <w:rsid w:val="003A0483"/>
    <w:rsid w:val="003A0A0B"/>
    <w:rsid w:val="003C3971"/>
    <w:rsid w:val="003E0E54"/>
    <w:rsid w:val="003E7753"/>
    <w:rsid w:val="004205CB"/>
    <w:rsid w:val="00423334"/>
    <w:rsid w:val="004345EC"/>
    <w:rsid w:val="004826A9"/>
    <w:rsid w:val="00491484"/>
    <w:rsid w:val="004C1601"/>
    <w:rsid w:val="004D3578"/>
    <w:rsid w:val="004E213A"/>
    <w:rsid w:val="004E4D44"/>
    <w:rsid w:val="004F0988"/>
    <w:rsid w:val="004F3340"/>
    <w:rsid w:val="004F3E3D"/>
    <w:rsid w:val="0053388B"/>
    <w:rsid w:val="00535773"/>
    <w:rsid w:val="00543E6C"/>
    <w:rsid w:val="0055413F"/>
    <w:rsid w:val="0055585A"/>
    <w:rsid w:val="00565087"/>
    <w:rsid w:val="00572E14"/>
    <w:rsid w:val="00595C50"/>
    <w:rsid w:val="005973BE"/>
    <w:rsid w:val="005A5986"/>
    <w:rsid w:val="005C5ADE"/>
    <w:rsid w:val="005D2E01"/>
    <w:rsid w:val="005D6137"/>
    <w:rsid w:val="005D6DDA"/>
    <w:rsid w:val="005D7526"/>
    <w:rsid w:val="005E69AE"/>
    <w:rsid w:val="00602AEA"/>
    <w:rsid w:val="006047D6"/>
    <w:rsid w:val="00607E3C"/>
    <w:rsid w:val="00614FDF"/>
    <w:rsid w:val="006246A7"/>
    <w:rsid w:val="0062595A"/>
    <w:rsid w:val="0063543D"/>
    <w:rsid w:val="00647114"/>
    <w:rsid w:val="00653558"/>
    <w:rsid w:val="006A323F"/>
    <w:rsid w:val="006A3823"/>
    <w:rsid w:val="006B30D0"/>
    <w:rsid w:val="006B59E0"/>
    <w:rsid w:val="006C029E"/>
    <w:rsid w:val="006C3D95"/>
    <w:rsid w:val="006E5C86"/>
    <w:rsid w:val="00713C44"/>
    <w:rsid w:val="00734A5B"/>
    <w:rsid w:val="0074026F"/>
    <w:rsid w:val="007429F6"/>
    <w:rsid w:val="00744E76"/>
    <w:rsid w:val="00752198"/>
    <w:rsid w:val="00753881"/>
    <w:rsid w:val="00774DA4"/>
    <w:rsid w:val="00776CF3"/>
    <w:rsid w:val="00781F0F"/>
    <w:rsid w:val="00797046"/>
    <w:rsid w:val="0079755B"/>
    <w:rsid w:val="007B600E"/>
    <w:rsid w:val="007E7306"/>
    <w:rsid w:val="007F0F4A"/>
    <w:rsid w:val="007F71BD"/>
    <w:rsid w:val="008028A4"/>
    <w:rsid w:val="008029FB"/>
    <w:rsid w:val="00817778"/>
    <w:rsid w:val="00820B25"/>
    <w:rsid w:val="00830747"/>
    <w:rsid w:val="008768CA"/>
    <w:rsid w:val="008802E3"/>
    <w:rsid w:val="008B7B02"/>
    <w:rsid w:val="008C384C"/>
    <w:rsid w:val="008E0A99"/>
    <w:rsid w:val="008E7986"/>
    <w:rsid w:val="0090271F"/>
    <w:rsid w:val="00902E23"/>
    <w:rsid w:val="009114D7"/>
    <w:rsid w:val="0091348E"/>
    <w:rsid w:val="00917CCB"/>
    <w:rsid w:val="009275BD"/>
    <w:rsid w:val="00942EC2"/>
    <w:rsid w:val="00957D75"/>
    <w:rsid w:val="009746C7"/>
    <w:rsid w:val="009D725E"/>
    <w:rsid w:val="009F37B7"/>
    <w:rsid w:val="009F5E43"/>
    <w:rsid w:val="00A10F02"/>
    <w:rsid w:val="00A164B4"/>
    <w:rsid w:val="00A16799"/>
    <w:rsid w:val="00A24DAA"/>
    <w:rsid w:val="00A26956"/>
    <w:rsid w:val="00A53724"/>
    <w:rsid w:val="00A73129"/>
    <w:rsid w:val="00A82346"/>
    <w:rsid w:val="00A8729C"/>
    <w:rsid w:val="00A92BA1"/>
    <w:rsid w:val="00AC6BC6"/>
    <w:rsid w:val="00AE3797"/>
    <w:rsid w:val="00B15449"/>
    <w:rsid w:val="00B27FEE"/>
    <w:rsid w:val="00B44626"/>
    <w:rsid w:val="00B808FA"/>
    <w:rsid w:val="00B845A4"/>
    <w:rsid w:val="00B93086"/>
    <w:rsid w:val="00BA19ED"/>
    <w:rsid w:val="00BA300B"/>
    <w:rsid w:val="00BA4B8D"/>
    <w:rsid w:val="00BC0F7D"/>
    <w:rsid w:val="00BE3255"/>
    <w:rsid w:val="00BF128E"/>
    <w:rsid w:val="00C06268"/>
    <w:rsid w:val="00C102F5"/>
    <w:rsid w:val="00C1496A"/>
    <w:rsid w:val="00C33079"/>
    <w:rsid w:val="00C45231"/>
    <w:rsid w:val="00C72833"/>
    <w:rsid w:val="00C80F1D"/>
    <w:rsid w:val="00C93F40"/>
    <w:rsid w:val="00CA3D0C"/>
    <w:rsid w:val="00CD555A"/>
    <w:rsid w:val="00CD71E9"/>
    <w:rsid w:val="00CF20E3"/>
    <w:rsid w:val="00D13723"/>
    <w:rsid w:val="00D309CC"/>
    <w:rsid w:val="00D46431"/>
    <w:rsid w:val="00D56A52"/>
    <w:rsid w:val="00D57972"/>
    <w:rsid w:val="00D64C63"/>
    <w:rsid w:val="00D675A9"/>
    <w:rsid w:val="00D738D6"/>
    <w:rsid w:val="00D755EB"/>
    <w:rsid w:val="00D87E00"/>
    <w:rsid w:val="00D9134D"/>
    <w:rsid w:val="00DA7A03"/>
    <w:rsid w:val="00DB1818"/>
    <w:rsid w:val="00DC309B"/>
    <w:rsid w:val="00DC4DA2"/>
    <w:rsid w:val="00DD4C17"/>
    <w:rsid w:val="00DF1920"/>
    <w:rsid w:val="00DF2B1F"/>
    <w:rsid w:val="00DF6189"/>
    <w:rsid w:val="00DF62CD"/>
    <w:rsid w:val="00E16509"/>
    <w:rsid w:val="00E44582"/>
    <w:rsid w:val="00E52814"/>
    <w:rsid w:val="00E60495"/>
    <w:rsid w:val="00E72324"/>
    <w:rsid w:val="00E72511"/>
    <w:rsid w:val="00E72ABE"/>
    <w:rsid w:val="00E77645"/>
    <w:rsid w:val="00E91317"/>
    <w:rsid w:val="00EA1DF9"/>
    <w:rsid w:val="00EC4A25"/>
    <w:rsid w:val="00EE5AA7"/>
    <w:rsid w:val="00F025A2"/>
    <w:rsid w:val="00F04712"/>
    <w:rsid w:val="00F21311"/>
    <w:rsid w:val="00F22EC7"/>
    <w:rsid w:val="00F325C8"/>
    <w:rsid w:val="00F477C6"/>
    <w:rsid w:val="00F56D37"/>
    <w:rsid w:val="00F62AEB"/>
    <w:rsid w:val="00F653B8"/>
    <w:rsid w:val="00F70647"/>
    <w:rsid w:val="00F85EA1"/>
    <w:rsid w:val="00F90B9E"/>
    <w:rsid w:val="00F92439"/>
    <w:rsid w:val="00F9377D"/>
    <w:rsid w:val="00F95B89"/>
    <w:rsid w:val="00FA1266"/>
    <w:rsid w:val="00FA2DA6"/>
    <w:rsid w:val="00FA33F8"/>
    <w:rsid w:val="00FC1192"/>
    <w:rsid w:val="00FE7BF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rsid w:val="00595C50"/>
    <w:rPr>
      <w:sz w:val="24"/>
      <w:szCs w:val="24"/>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1"/>
    <w:qFormat/>
    <w:rsid w:val="00B845A4"/>
    <w:pPr>
      <w:overflowPunct w:val="0"/>
      <w:autoSpaceDE w:val="0"/>
      <w:autoSpaceDN w:val="0"/>
      <w:adjustRightInd w:val="0"/>
      <w:ind w:left="720"/>
      <w:contextualSpacing/>
      <w:textAlignment w:val="baseline"/>
    </w:pPr>
    <w:rPr>
      <w:rFonts w:eastAsia="SimSun"/>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1"/>
    <w:qFormat/>
    <w:locked/>
    <w:rsid w:val="00B845A4"/>
    <w:rPr>
      <w:rFonts w:eastAsia="SimSun"/>
    </w:rPr>
  </w:style>
  <w:style w:type="character" w:customStyle="1" w:styleId="B1Char">
    <w:name w:val="B1 Char"/>
    <w:link w:val="B1"/>
    <w:rsid w:val="001F3CDB"/>
    <w:rPr>
      <w:lang w:eastAsia="en-US"/>
    </w:rPr>
  </w:style>
  <w:style w:type="character" w:customStyle="1" w:styleId="TFChar">
    <w:name w:val="TF Char"/>
    <w:link w:val="TF"/>
    <w:qFormat/>
    <w:rsid w:val="001F3CD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704118">
      <w:bodyDiv w:val="1"/>
      <w:marLeft w:val="0"/>
      <w:marRight w:val="0"/>
      <w:marTop w:val="0"/>
      <w:marBottom w:val="0"/>
      <w:divBdr>
        <w:top w:val="none" w:sz="0" w:space="0" w:color="auto"/>
        <w:left w:val="none" w:sz="0" w:space="0" w:color="auto"/>
        <w:bottom w:val="none" w:sz="0" w:space="0" w:color="auto"/>
        <w:right w:val="none" w:sz="0" w:space="0" w:color="auto"/>
      </w:divBdr>
    </w:div>
    <w:div w:id="424347870">
      <w:bodyDiv w:val="1"/>
      <w:marLeft w:val="0"/>
      <w:marRight w:val="0"/>
      <w:marTop w:val="0"/>
      <w:marBottom w:val="0"/>
      <w:divBdr>
        <w:top w:val="none" w:sz="0" w:space="0" w:color="auto"/>
        <w:left w:val="none" w:sz="0" w:space="0" w:color="auto"/>
        <w:bottom w:val="none" w:sz="0" w:space="0" w:color="auto"/>
        <w:right w:val="none" w:sz="0" w:space="0" w:color="auto"/>
      </w:divBdr>
    </w:div>
    <w:div w:id="1312059840">
      <w:bodyDiv w:val="1"/>
      <w:marLeft w:val="0"/>
      <w:marRight w:val="0"/>
      <w:marTop w:val="0"/>
      <w:marBottom w:val="0"/>
      <w:divBdr>
        <w:top w:val="none" w:sz="0" w:space="0" w:color="auto"/>
        <w:left w:val="none" w:sz="0" w:space="0" w:color="auto"/>
        <w:bottom w:val="none" w:sz="0" w:space="0" w:color="auto"/>
        <w:right w:val="none" w:sz="0" w:space="0" w:color="auto"/>
      </w:divBdr>
    </w:div>
    <w:div w:id="1991328201">
      <w:bodyDiv w:val="1"/>
      <w:marLeft w:val="0"/>
      <w:marRight w:val="0"/>
      <w:marTop w:val="0"/>
      <w:marBottom w:val="0"/>
      <w:divBdr>
        <w:top w:val="none" w:sz="0" w:space="0" w:color="auto"/>
        <w:left w:val="none" w:sz="0" w:space="0" w:color="auto"/>
        <w:bottom w:val="none" w:sz="0" w:space="0" w:color="auto"/>
        <w:right w:val="none" w:sz="0" w:space="0" w:color="auto"/>
      </w:divBdr>
    </w:div>
    <w:div w:id="204127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24</TotalTime>
  <Pages>2</Pages>
  <Words>688</Words>
  <Characters>3927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4606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9</cp:revision>
  <cp:lastPrinted>2019-02-25T14:05:00Z</cp:lastPrinted>
  <dcterms:created xsi:type="dcterms:W3CDTF">2025-02-07T15:02:00Z</dcterms:created>
  <dcterms:modified xsi:type="dcterms:W3CDTF">2025-02-07T15:31:00Z</dcterms:modified>
  <cp:category/>
</cp:coreProperties>
</file>